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rPr>
        <w:t>工程监理企业资质标准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2016-01-04</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7"/>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cstheme="minorEastAsia"/>
          <w:b w:val="0"/>
          <w:i w:val="0"/>
          <w:caps w:val="0"/>
          <w:color w:val="3E3E3E"/>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工程监理企业资质分为综合资质、专业资质和事务所三个序列。综合资质只设甲级。专业资质原则上分为甲、乙、丙三个级别，并按照工程性质和技术特 点划分为14个专业工程类别（附表2）；除房屋建筑、水利水电、公路和市政公用四个专业工程类别设丙级资质外，其它专业工程类别不设丙级资质。事务所不分等级。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w:t>
      </w:r>
      <w: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t>一、资质标准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（一）综合资质标准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1、具有独立法人资格且注册资本不少于600万元。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2、企业技术负责人应为注册监理工程师，并具有15年以上从事工程建设工作的经历或者具有工程类高级职称。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3、具有5个以上工程类别的专业甲级工程监理资质。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4、注册监理工程师不少于60人，注册造价工程师不少于5人，一级注册建造师、一级注册建筑师、一级注册结构工程师或者其它勘察设计注册工程师合计不少于15人次。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5、企业具有完善的组织结构和质量管理体系，有健全的技术、档案等管理制度。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6、企业具有必要的工程试验检测设备。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7、申请工程监理资质之日前两年内，企业没有违反法律、法规及规章的行为。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8、申请工程监理资质之日前两年内没有因本企业监理责任造成重大质量事故。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9、申请工程监理资质之日前两年内没有因本企业监理责任发生三级以上工程建设重大安全事故或者发生两起以上四级工程建设安全事故。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（二）专业资质标准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1、甲级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（1）具有独立法人资格且注册资本不少于300万元。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（2）企业技术负责人应为注册监理工程师，并具有15年以上从事工程建设工作的经历或者具有工程类高级职称。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（3）注册监理工程师、注册造价工程师、一级注册建造师、一级注册建筑师、一级注册结构工程师或者其它勘察设计注册工程师合计不少于25人次； 其中，相应专业注册监理工程师不少于《专业资质注册监理工程师人数配备表》（附表1）中要求配备的人数，注册造价工程师不少于2人。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（4）企业近2年内独立监理过3个以上相应专业的二级工程项目，但是，具有甲级设计资质或一级及以上施工总承包资质的企业申请本专业工程类别甲级资质的除外。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（5）企业具有完善的组织结构和质量管理体系，有健全的技术、档案等管理制度。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（6）企业具有必要的工程试验检测设备。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（7）申请工程监理资质之日前两年内，企业没有违反法律、法规及规章的行为。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（8）申请工程监理资质之日前两年内没有因本企业监理责任造成重大质量事故。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（9）申请工程监理资质之日前两年内没有因本企业监理责任发生三级以上工程建设重大安全事故或者发生两起以上四级工程建设安全事故。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2、乙级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（1）具有独立法人资格且注册资本不少于100万元。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（2）企业技术负责人应为注册监理工程师，并具有10年以上从事工程建设工作的经历。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（3）注册监理工程师、注册造价工程师、一级注册建造师、一级注册建筑师、一级注册结构工程师或者其它勘察设计注册工程师合计不少于15人次。 其中，相应专业注册监理工程师不少于《专业资质注册监理工程师人数配备表》（附表1）中要求配备的人数，注册造价工程师不少于1人。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（4）有较完善的组织结构和质量管理体系，有技术、档案等管理制度。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（5）有必要的工程试验检测设备。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（6）申请工程监理资质之日前两年内，企业没有违反法律、法规及规章的行为。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（7）申请工程监理资质之日前两年内没有因本企业监理责任造成重大质量事故。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（8）申请工程监理资质之日前两年内没有因本企业监理责任发生三级以上工程建设重大安全事故或者发生两起以上四级工程建设安全事故。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3、丙级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（1）具有独立法人资格且注册资本不少于50万元。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（2）企业技术负责人应为注册监理工程师，并具有８年以上从事工程建设工作的经历。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（3）相应专业的注册监理工程师不少于《专业资质注册监理工程师人数配备表》（附表1）中要求配备的人数。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（4）有必要的质量管理体系、档案管理和规章制度。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（5）有必要的工程试验检测设备。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（三）事务所资质标准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1、取得合伙企业营业执照，具有书面合作协议书。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2、合伙人中有不少于3名注册监理工程师，合伙人均有5年以上从事建设工程监理的工作经历。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3、有固定的工作场所。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4、有必要的质量管理体系、档案管理和规章制度。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5、有必要的工程试验检测设备。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w:t>
      </w:r>
      <w: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t>二、业务范围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（一）综合资质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可以承担所有专业工程类别建设工程项目的工程监理业务，以及建设工程的项目管理、技术咨询等相关服务。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（二）专业甲级资质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可承担相应专业工程类别建设工程项目的工程监理业务(见附表2)，以及相应类别建设程的项目管理、技术咨询等相关服务。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（三）专业乙级资质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可承担相应专业工程类别二级(含二级)以下建设工程项目的工程监理业务(见附表2)，以及相应类别和级别建设工程的项目管理、技术咨询等相关服务。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（四）专业丙级资质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可承担相应专业工程类别三级建设工程项目的工程监理业务(见附表2)，以及相应类别和级别建设工程的项目管理、技术咨询等相关服务。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（五）事务所资质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可承担三级建设工程项目的工程监理业务(见附表2)，以及相应类别和级别建设工程项目管理、技术咨询等相关服务。但是，国家规定必须实行强制监理的建设工程监理业务除外。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附表 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pPr>
      <w: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t>专业资质注册监理工程师人数配备表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（单位：人）</w:t>
      </w:r>
    </w:p>
    <w:tbl>
      <w:tblPr>
        <w:tblW w:w="87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44"/>
        <w:gridCol w:w="3090"/>
        <w:gridCol w:w="1620"/>
        <w:gridCol w:w="163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序号</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工程类别</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甲级</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乙级</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丙级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房屋建筑工程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冶炼工程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矿山工程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20</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化工石油工程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5</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水利水电工程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20</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6</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电力工程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7</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农林工程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8</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铁路工程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23</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14</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9</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公路工程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20</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港口与航道工程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20</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11</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航天航空工程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20</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通信工程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20</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13</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市政公用工程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14</w:t>
            </w:r>
          </w:p>
        </w:tc>
        <w:tc>
          <w:tcPr>
            <w:tcW w:w="30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机电安装工程</w:t>
            </w:r>
          </w:p>
        </w:tc>
        <w:tc>
          <w:tcPr>
            <w:tcW w:w="1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15</w:t>
            </w:r>
          </w:p>
        </w:tc>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10</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注：表中各专业资质注册监理工程师人数配备是指企业取得本专业工程类别注册的注册监理工程师人数。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附表 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Theme="minorEastAsia" w:hAnsiTheme="minorEastAsia" w:eastAsiaTheme="minorEastAsia" w:cstheme="minorEastAsia"/>
          <w:b w:val="0"/>
          <w:i w:val="0"/>
          <w:caps w:val="0"/>
          <w:color w:val="3E3E3E"/>
          <w:spacing w:val="0"/>
          <w:sz w:val="24"/>
          <w:szCs w:val="24"/>
        </w:rPr>
      </w:pPr>
      <w: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t>专业工程类别和等级表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Theme="minorEastAsia" w:hAnsiTheme="minorEastAsia" w:eastAsiaTheme="minorEastAsia" w:cstheme="minorEastAsia"/>
          <w:b w:val="0"/>
          <w:i w:val="0"/>
          <w:caps w:val="0"/>
          <w:color w:val="3E3E3E"/>
          <w:spacing w:val="0"/>
          <w:sz w:val="24"/>
          <w:szCs w:val="24"/>
        </w:rPr>
      </w:pPr>
    </w:p>
    <w:tbl>
      <w:tblPr>
        <w:tblW w:w="10580" w:type="dxa"/>
        <w:jc w:val="center"/>
        <w:tblInd w:w="-5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46"/>
        <w:gridCol w:w="588"/>
        <w:gridCol w:w="1045"/>
        <w:gridCol w:w="2947"/>
        <w:gridCol w:w="2740"/>
        <w:gridCol w:w="2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2" w:hRule="atLeast"/>
          <w:jc w:val="center"/>
        </w:trPr>
        <w:tc>
          <w:tcPr>
            <w:tcW w:w="94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序号</w:t>
            </w:r>
          </w:p>
        </w:tc>
        <w:tc>
          <w:tcPr>
            <w:tcW w:w="1633"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工程类别</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一级</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二级</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一</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房屋</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建筑</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一般公共建筑</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28层以上；36米跨度以上（轻钢结构除外）；单项工程建筑面积3万平方米以上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14—28层；24—36米跨度（轻钢结构除外）；单项工程建筑面积1万—3万平方米</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14层以下；24米跨度以下（轻钢结构除外）；单项工程建筑面积1万平方米以下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高耸构筑工程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高度120米以上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高度70—120米</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高度70米以下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住宅工程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小区建筑面积12万平方米以上；单项工程28层以上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建筑面积6万—12万平方米；单项工程14—28层</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建筑面积6万平方米以下；单项工程14层以下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4"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二</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冶炼</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钢铁冶炼、连铸工程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年产100万吨以上；单座高炉炉容1250立方米以上；单座公称容量转炉100吨以上；电炉50吨以上；连铸年产100万吨以上或板坯连铸单机1450毫米以上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年产100万吨以下；单座高炉炉容1250立方米以下；单座公称容量转炉100吨以下；电炉50吨以下；连铸年产100万吨以下或板坯连铸单机1450毫米以下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3"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轧钢工程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热轧年产100万吨以上，装备连续、半连续轧机；冷轧带板年产100万吨以上，冷轧线材年产30万吨以上或装备连续、半连续轧机。</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热轧年产100万吨以下，装备连续、半连续轧机；冷轧带板年产100万吨以下，冷轧线材年产30万吨以下或装备连续、半连续轧机</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冶炼辅助工程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炼焦工程年产50万吨以上或炭化室高度4．3米以上；单台烧结机100平方米以上；小时制氧300立方米以上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炼焦工程年产50万吨以下或炭化室高度4．3米以下；单台烧结机100平方米以下：小时制氧300立方米以下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有色冶炼工程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有色冶炼年产10万吨以上；有色金属加工年产5万吨以上；氧化铝工程40万吨以上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有色冶炼年产10万吨以下；有色金属加工年产5万吨以下；氧化铝工程40万吨以下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4"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建材工程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水泥日产2000吨以上；浮化玻璃日熔量400吨以上；池窑拉丝玻璃纤维、特种纤维；特种陶瓷生产线工程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水泥日产2000吨以下：浮化玻璃日熔量400吨以下；普通玻璃生产线；组合炉拉丝玻璃纤维；非金属材料、玻璃钢、耐火材料、建筑及卫生陶瓷厂工程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3"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三</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矿山</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煤矿工程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年产120万吨以上的井工矿工程；年产120万吨以上的洗选煤工程；深度800米以上的立井井筒工程；年产400万吨以上的露天矿山工程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年产120万吨以下的井工矿工程；年产120万吨以下的洗选煤工程；深度800米以下的立井井筒工程：年产400万吨以下的露天矿山工程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3"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冶金矿山工程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年产100万吨以上的黑色矿山采选工程；年产100万吨以上的有色砂矿采、选工程；年产60万吨以上的有色脉矿采、选工程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年产100万吨以下的黑色矿山采选工程；年产100万吨以下的有色砂矿采、选工程；年产60万吨以下的有色脉矿采、选工程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化工矿山工程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年产60万吨以上的磷矿、硫铁矿工程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年产60万吨以下的磷矿、硫铁矿工程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铀矿工程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年产10万吨以上的铀矿；年产200吨以上的铀选冶</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年产10万吨以下的铀矿；年产200吨以下的铀选冶</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建材类非金属矿工程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年产70万吨以上的石灰石矿；年产30万吨以上的石膏矿、石英砂岩矿</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年产70万吨以下的石灰石矿；年产30万吨以下的石膏矿、石英砂岩矿</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四</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化工</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石油</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油田工程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原油处理能力150万吨／年以上、天然气处理能力150万方／天以上、产能50万吨以上及配套设施</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原油处理能力150万吨／年以下、天然气处理能力150万方／天以下、产能50万吨以下及配套设施</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油气储运工程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压力容器8MPa以上；油气储罐10万立方米／台以上；长输管道120千米以上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压力容器8MPa以下；油气储罐10万立方米／台以下；长输管道120千米以下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炼油化工工程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原油处理能力在500万吨／年以上的一次加工及相应二次加工装置和后加工装置</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原油处理能力在500万吨／年以下的一次加工及相应二次加工装置和后加工装置</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基本原材料工程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年产30万吨以上的乙烯工程；年产4万吨以上的合成橡胶、合成树脂及塑料和化纤工程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年产30万吨以下的乙烯工程；年产4万吨以下的合成橡胶、合成树脂及塑料和化纤工程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化肥工程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年产20万吨以上合成氨及相应后加工装置；年产24万吨以上磷氨工程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年产20万吨以下合成氨及相应后加工装置；年产24万吨以下磷氨工程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酸碱工程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年产硫酸16万吨以上；年产烧碱8万吨以上；年产纯碱40万吨以上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年产硫酸16万吨以下；年产烧碱8万吨以下；年产纯碱40万吨以下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轮胎工程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年产30万套以上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年产30万套以下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6"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核化工及加工工程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年产1000吨以上的铀转换化工工程；年产100吨以上的铀浓缩工程；总投资10亿元以上的乏燃料后处理工程；年产200吨以上的燃料元件加工工程；总投资5000万元以上的核技术及同位素应用工程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年产1000吨以下的铀转换化工工程；年产100吨以下的铀浓缩工程；总投资10亿元以下的乏燃料后处理工程；年产200吨以下的燃料元件加工工程；总投资5000万元以下的核技术及同位素应用工程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医药及其它化工工程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总投资1亿元以上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总投资1亿元以下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五</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水利</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水电</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水库工程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总库容1亿立方米以上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总库容1千万—1亿立方米</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总库容1千万立方米以下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水力发电站工程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总装机容量300MW以上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总装机容量50MW—300MW</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总装机容量50MW以下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8"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其它水利工程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引调水堤防等级1级；灌溉排涝流量5立方米／秒以上；河道整治面积30万亩以上；城市防洪城市人口50万人以上；围垦面积5万亩以上；水土保持综合治理面积1000平方公里以上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引调水堤防等级2、3级；灌溉排涝流量0．5—5立方米／秒；河道整治面积3万—30万亩；城市防洪城市人口20万—50万人；围垦面积0．5万—5万亩；水土保持综合治理面积100—1000平方公里</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引调水堤防等级4、5级；灌溉排涝流量0．5立方米／秒以下；河道整治面积3万亩以下；城市防洪城市人口20万人以下；围垦面积0．5万亩以下；水土保持综合治理面积100平方公里以下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49"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六</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电力</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火力发电站工程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单机容量30万千瓦以上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单机容量30万千瓦以下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输变电工程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330千伏以上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330千伏以下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核电工程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核电站；核反应堆工程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七</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农林</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林业局（场）总体工程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面积35万公顷以上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面积35万公顷以下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林产工业工程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农业综合开发工程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总投资3000万元以上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总投资3000万元以下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种植业工程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2万亩以上或总投资1500万元以上；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2万亩以下或总投资1500万元以下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兽医／畜牧工程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总投资1500万元以上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总投资1500万元以下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渔业工程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渔港工程总投资3000万元以上；水产养殖等其他工程总投资1500万元以上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渔港工程总投资3000万元以下；水产养殖等其他工程总投资1500万元以下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设施农业工程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设施园艺工程1公顷以上；农产品加工等其他工程总投资1500万元以上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设施园艺工程1公顷以下；农产品加工等其他工程总投资1500万元以下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3"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核设施退役及放射性三废处理处置工程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八</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铁路</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铁路综合工程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新建、改建一级干线；单线铁路40千米以上；双线30千米以上及枢纽</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单线铁路40千米以下；双线30千米以下；二级干线及站线；专用线、专用铁路</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铁路桥梁工程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桥长500米以上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桥长500米以下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铁路隧道工程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单线3000米以上；双线1500米以上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单线3000米以下；双线1500米以下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1"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铁路通信、信号、电力电气化工程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新建、改建铁路（含枢纽、配、变电所、分区亭）单双线200千米及以上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新建、改建铁路（不含枢纽、配、变电所、分区亭）单双线200千米及以下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九</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公路</w:t>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公路工程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高速公路</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高速公路路基工程及一级公路</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一级公路路基工程及二级以下各级公路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公路桥梁工程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独立大桥工程；特大桥总长1000米以上或单跨跨径150米以上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大桥、中桥桥梁总长30—1000米或单跨跨径20—150米</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小桥总长30米以下或单跨跨径20米以下；涵洞工程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公路隧道工程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隧道长度1000米以上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隧道长度500—1000米</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隧道长度500米以下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其它工程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通讯、监控、收费等机电工程，高速公路交通安全设施、环保工程和沿线附属设施</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一级公路交通安全设施、环保工程和沿线附属设施</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二级及以下公路交通安全设施、环保工程和沿线附属设施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3"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十</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港口与航道工程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港口工程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集装箱、件杂、多用途等沿海港口工程20000吨级以上；散货、原油沿海港口工程30000吨级以上；1000吨级以上内河港口工程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集装箱、件杂、多用途等沿海港口工程20000吨级以下；散货、原油沿海港口工程30000吨级以下；1000吨级以下内河港口工程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通航建筑与整治工程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1000吨级以上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1000吨级以下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航道工程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通航30000吨级以上船舶沿海复杂航道；通航1000吨级以上船舶的内河航运工程项目</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通航30000吨级以下船舶沿海航道；通航1000吨级以下船舶的内河航运工程项目</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修造船水工工程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10000吨位以上的船坞工程；船体重量5000吨位以上的船台、滑道工程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10000吨位以下的船坞工程；船体重量5000吨位以下的船台、滑道工程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防波堤、导流堤等水工工程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最大水深6米以上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最大水深6米以下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其它水运工程项目</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建安工程费6000万元以上的沿海水运工程项目；建安工程费4000万元以上的内河水运工程项目</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建安工程费6000万元以下的沿海水运工程项目；建安工程费4000万元以下的内河水运工程项目</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十一</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航天航空工程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民用机场工程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飞行区指标为4E及以上及其配套工程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飞行区指标为4D及以下及其配套工程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航空飞行器</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航空飞行器（综合）工程总投资1亿元以上；航空飞行器（单项）工程总投资3000万元以上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航空飞行器（综合）工程总投资1亿元以下；航空飞行器（单项）工程总投资3000万元以下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航天空间飞行器</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工程总投资3000万元以上；面积3000平方米以上：跨度18米以上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工程总投资3000万元以下；面积3000平方米以下；跨度18米以下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4"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十二</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通信工程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有线、无线传输通信工程，卫星、综合布线</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省际通信、信息网络工程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省内通信、信息网络工程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邮政、电信、广播枢纽及交换工程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省会城市邮政、电信枢纽</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地市级城市邮政、电信枢纽</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发射台工程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总发射功率500千瓦以上短波或600千瓦以上中波发射台；高度200米以上广播电视发射塔</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总发射功率500千瓦以下短波或600千瓦以下中波发射台；高度200米以下广播电视发射塔</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2"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十三</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市政公用工程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城市道路工程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城市快速路、主干路，城市互通式立交桥及单孔跨径100米以上桥梁；长度1000米以上的隧道工程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城市次干路工程，城市分离式立交桥及单孔跨径100米以下的桥梁；长度1000米以下的隧道工程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城市支路工程、过街天桥及地下通道工程。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8"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给水排水工程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10万吨／日以上的给水厂；5万吨／日以上污水处理工程；3立方米／秒以上的给水、污水泵站；15立方米／秒以上的雨泵站；直径2．5米以上的给排水管道</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2万—10万吨／日的给水厂；1万—5万吨／日污水处理工程；1—3立方米／秒的给水、污水泵站；5—15 立方米／秒的雨泵站；直径1—2．5米的给水管道；直径1．5—2．5米的排水管道</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2万吨／日以下的给水厂；1万吨／日以下污水处理工程；1立方米／秒以下的给水、污水泵站；5立方米／秒以下的雨泵站；直径1米以下的给水管道；直径1．5米以下的排水管道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5"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燃气热力工程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总储存容积1000立方米以上液化气贮罐场（站）；供气规模15万立方米／日以上的燃气工程；中压以上的燃气管道、调压站；供热面积150万平方米以上的热力工程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总储存容积1000立方米以下的液化气贮罐场（站）；供气规模15万立方米／日以下的燃气工程；中压以下的燃气管道、调压站；供热面积50万—150万平方米的热力工程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供热面积50万平方米以下的热力工程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9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垃圾处理工程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1200吨／日以上的垃圾焚烧和填埋工程。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500—1200吨／日的垃圾焚烧及填埋工程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500吨／日以下的垃圾焚烧及填埋工程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地铁轻轨工程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各类地铁轻轨工程。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风景园林工程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总投资3000万元以上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总投资1000万—3000万元</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总投资1000万元以下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atLeast"/>
          <w:jc w:val="center"/>
        </w:trPr>
        <w:tc>
          <w:tcPr>
            <w:tcW w:w="946"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十四</w:t>
            </w:r>
          </w:p>
        </w:tc>
        <w:tc>
          <w:tcPr>
            <w:tcW w:w="588"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机电安装工程</w:t>
            </w: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机械工程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电子工程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总投资1亿元以上；含有净化级别6级以上的工程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总投资1亿元以下；含有净化级别6级以下的工程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轻纺工程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4"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兵器工程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建安工程费3000万元以上的坦克装甲车辆、炸药、弹箭工程；建安工程费2000万元以上的枪炮、光电工程；建安工程费1000万元以上的防化民爆工程</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建安工程费3000万元以下的坦克装甲车辆、炸药、弹箭工程；建安工程费2000万元以下的枪炮、光电工程；建安工程费1000万元以下的防化民爆工程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船舶工程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船舶制造工程总投资1亿元以上；船舶科研、机械、修理工程总投资5000万元以上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船舶制造工程总投资1亿元以下；船舶科研、机械、修理工程总投资5000万元以下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94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58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b w:val="0"/>
                <w:i w:val="0"/>
                <w:caps w:val="0"/>
                <w:color w:val="3E3E3E"/>
                <w:spacing w:val="0"/>
                <w:sz w:val="24"/>
                <w:szCs w:val="24"/>
              </w:rPr>
            </w:pPr>
          </w:p>
        </w:tc>
        <w:tc>
          <w:tcPr>
            <w:tcW w:w="1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其它工程</w:t>
            </w:r>
          </w:p>
        </w:tc>
        <w:tc>
          <w:tcPr>
            <w:tcW w:w="29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总投资5000万元以上</w:t>
            </w:r>
          </w:p>
        </w:tc>
        <w:tc>
          <w:tcPr>
            <w:tcW w:w="2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kern w:val="0"/>
                <w:sz w:val="24"/>
                <w:szCs w:val="24"/>
                <w:bdr w:val="none" w:color="auto" w:sz="0" w:space="0"/>
                <w:lang w:val="en-US" w:eastAsia="zh-CN" w:bidi="ar"/>
              </w:rPr>
              <w:t>总投资5000万元以下</w:t>
            </w:r>
          </w:p>
        </w:tc>
        <w:tc>
          <w:tcPr>
            <w:tcW w:w="23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375" w:lineRule="atLeast"/>
              <w:ind w:left="0" w:right="0" w:firstLine="0"/>
              <w:jc w:val="left"/>
              <w:rPr>
                <w:rFonts w:hint="eastAsia" w:asciiTheme="minorEastAsia" w:hAnsiTheme="minorEastAsia" w:eastAsiaTheme="minorEastAsia" w:cstheme="minorEastAsia"/>
                <w:b w:val="0"/>
                <w:i w:val="0"/>
                <w:caps w:val="0"/>
                <w:color w:val="3E3E3E"/>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bCs/>
          <w:i w:val="0"/>
          <w:caps w:val="0"/>
          <w:color w:val="3E3E3E"/>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bCs/>
          <w:i w:val="0"/>
          <w:caps w:val="0"/>
          <w:color w:val="3E3E3E"/>
          <w:spacing w:val="0"/>
          <w:sz w:val="24"/>
          <w:szCs w:val="24"/>
        </w:rPr>
      </w:pPr>
      <w:r>
        <w:rPr>
          <w:rFonts w:hint="eastAsia" w:asciiTheme="minorEastAsia" w:hAnsiTheme="minorEastAsia" w:eastAsiaTheme="minorEastAsia" w:cstheme="minorEastAsia"/>
          <w:b/>
          <w:bCs/>
          <w:i w:val="0"/>
          <w:caps w:val="0"/>
          <w:color w:val="3E3E3E"/>
          <w:spacing w:val="0"/>
          <w:sz w:val="24"/>
          <w:szCs w:val="24"/>
          <w:bdr w:val="none" w:color="auto" w:sz="0" w:space="0"/>
          <w:shd w:val="clear" w:fill="FFFFFF"/>
        </w:rPr>
        <w:t>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1、表中的“以上”含本数，“以下”不含本数。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2、未列入本表中的其他专业工程，由国务院有关部门按照有关规定在相应的工程类别中划分等级。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3、房屋建筑工程包括结合城市建设与民用建筑修建的附建人防工程。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B0265"/>
    <w:rsid w:val="388B02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2016-01-09T01:35:00Z</dcterms:created>
  <dc:creator>Administrator</dc:creator>
  <cp:lastModifiedBy>Administrator</cp:lastModifiedBy>
  <dcterms:modified xsi:type="dcterms:W3CDTF">2016-01-09T01:49:12Z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