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工程建设项目招标代理机构资格标准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i w:val="0"/>
          <w:color w:val="8C8C8C"/>
          <w:kern w:val="0"/>
          <w:sz w:val="24"/>
          <w:szCs w:val="24"/>
          <w:bdr w:val="none" w:color="auto" w:sz="0" w:space="0"/>
          <w:lang w:val="en-US" w:eastAsia="zh-CN" w:bidi="ar"/>
        </w:rPr>
        <w:t>2016-01-04</w:t>
      </w:r>
      <w:r>
        <w:rPr>
          <w:rFonts w:hint="eastAsia" w:asciiTheme="minorEastAsia" w:hAnsiTheme="minorEastAsia" w:eastAsiaTheme="minorEastAsia" w:cstheme="minorEastAsia"/>
          <w:kern w:val="0"/>
          <w:sz w:val="24"/>
          <w:szCs w:val="24"/>
          <w:bdr w:val="none" w:color="auto" w:sz="0" w:space="0"/>
          <w:lang w:val="en-US" w:eastAsia="zh-CN" w:bidi="ar"/>
        </w:rPr>
        <w:t> </w:t>
      </w:r>
      <w:r>
        <w:rPr>
          <w:rFonts w:hint="eastAsia" w:asciiTheme="minorEastAsia" w:hAnsiTheme="minorEastAsia" w:eastAsiaTheme="minorEastAsia" w:cstheme="minorEastAsia"/>
          <w:vanish/>
          <w:color w:val="607FA6"/>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vanish/>
          <w:color w:val="607FA6"/>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vanish/>
          <w:color w:val="607FA6"/>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vanish/>
          <w:color w:val="607FA6"/>
          <w:sz w:val="24"/>
          <w:szCs w:val="24"/>
          <w:u w:val="none"/>
          <w:bdr w:val="none" w:color="auto" w:sz="0" w:space="0"/>
        </w:rPr>
        <w:t>名企人才网</w:t>
      </w:r>
      <w:r>
        <w:rPr>
          <w:rFonts w:hint="eastAsia" w:asciiTheme="minorEastAsia" w:hAnsiTheme="minorEastAsia" w:eastAsiaTheme="minorEastAsia" w:cstheme="minorEastAsia"/>
          <w:vanish/>
          <w:color w:val="607FA6"/>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一、工程招标代理机构资格分为甲级、乙级和暂定级。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甲级工程招标代理机构可以承担各类工程的招标代理业务。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乙级工程招标代理机构只能承担工程总投资1亿元人民币以下的工程招标代理业务。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暂定级工程招标代理机构，只能承担工程总投资6000万元人民币以下的工程招标代理业务。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二、工程招标代理机构可以跨省、自治区、直辖市承担工程招标代理业务。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任何单位和个人不得限制或者排斥工程招标代理机构依法开展工程招标代理业务。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三、申请工程招标代理资格的机构应当具备下列条件：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（一）是依法设立的中介组织， 具有独立法人资格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（二）与行政机关和其他国家机关没有行政隶属关系或者其他利益关系；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（三）有固定的营业场所和开展工程招标代理业务所需设施及办公条件；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（四）有健全的组织机构和内部管理的规章制度；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（五）具备编制招标文件和组织评标的相应专业力量；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（六）具有可以作为评标委员会成员人选的技术、经济等方面的专家库；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（七）法律、行政法规规定的其它条件。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四、申请甲级工程招标代理资格的机构，除具备本办法第八条规定的条件外，还应当具备下列条件：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（一）取得乙级工程招标代理资格满3年；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（二）近3年内累计工程招标代理中标金额在16亿元人民币以上（以中标通知书为依据，下同）；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（三）具有中级以上职称的工程招标代理机构专职人员不少于20人，其中具有工程建设类注册执业资格人员不少于10人（其中注册造价工程师不少于5人），从事工程招标代理业务3年以上的人员不少于10人；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（四）技术经济负责人为本机构专职人员，具有10年以上从事工程管理的经验，具有高级技术经济职称和工程建设类注册执业资格；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（五）注册资本金不少于200万元。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五、申请乙级工程招标代理资格的机构，除具备本办法第八条规定的条件外，还应当具备下列条件：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（一） 取得暂定级工程招标代理资格满1年；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（二）近3年内累计工程招标代理中标金额在8亿元人民币以上；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（三）具有中级以上职称的工程招标代理机构专职人员不少于12人，其中具有工程建设类注册执业资格人员不少于6人（其中注册造价工程师不少于3人），从事工程招标代理业务3年以上的人员不少于6人；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（四）技术经济负责人为本机构专职人员，具有8年以上从事工程管理的经历，具有高级技术经济职称和工程建设类注册执业资格；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shd w:val="clear" w:fill="FFFFFF"/>
        </w:rPr>
        <w:t>　　（五）注册资本金不少于100万元。</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3E3E3E"/>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A0D30"/>
    <w:rsid w:val="78AA0D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2016-01-09T01:49:00Z</dcterms:created>
  <dc:creator>Administrator</dc:creator>
  <cp:lastModifiedBy>Administrator</cp:lastModifiedBy>
  <dcterms:modified xsi:type="dcterms:W3CDTF">2016-01-09T01:50:44Z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