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海洋石油工程专业承包资质标准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海洋石油工程专业承包资质分为一、二级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46.1一级资质标准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46.1.1企业资产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46.1.2企业主要人员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）机电工程专业一级注册建造师不少于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工程施工技术管理工作经历，且具有工程序列高级职称；海洋油气（或海洋工程或（油气田）地面建设或油气储运或油气田开发或石油化工或石油炼制）、结构、电气、机械、自动控制和安全环保等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）持有岗位证书的的施工现场管理人员不少于50人，且质量员、安全员等人员齐全。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46.1.3企业工程业绩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年独立承担过单项合同额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亿元以上的中型海洋石油工程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 xml:space="preserve">46.1.4技术装备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具有下列技术装备：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吨以上承载力的滑道、与海洋工程施工配套的工程码头；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）符合中国船级社（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CCS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）《钢质海船入级规范》要求的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 xml:space="preserve">吨以上全旋转式或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吨以上固定式起重船；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）符合中国船级社（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CCS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）《钢质海船入级规范》要求的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75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吨以上张紧能力铺管船。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46.2二级资质标准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46.2.1企业资产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46.2.2企业主要人员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）机电工程专业注册建造师不少于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人，其中一级注册建造师不少于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高级职称或机电工程专业一级注册建造师执业资格；海洋油气（或海洋工程或（油气田）地面建设或油气储运或油气田开发或石油化工或石油炼制）、结构、电气、机械、自动控制和安全环保等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）持有岗位证书的的施工现场管理人员不少于20人，且质量员、安全员等人员齐全。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）技术负责人（或注册建造师）主持完成过本类别资质一级标准要求的工程业绩不少于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46.2.3技术装备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具有下列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项中的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项技术装备：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吨以上承载力的滑道、与海洋工程施工配套的工程码头；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）符合中国船级社（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CCS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）《钢质海船入级规范》要求的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 xml:space="preserve">吨以上全旋转式或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吨以上固定式起重船；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）符合中国船级社（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CCS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）《钢质海船入级规范》要求的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吨以上张紧能力铺管船。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46.3承包工程范围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46.3.1一级资质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可承担各类型海洋石油工程和其他海洋工程的施工、维修、改造等。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46.3.2二级资质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可承担项目投资额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亿元以下海洋油气开发工程或3亿元以下海底管道工程，以及其他海洋工程的施工、维修、改造等。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57D13"/>
    <w:rsid w:val="54657D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2016-01-09T01:28:00Z</dcterms:created>
  <dc:creator>Administrator</dc:creator>
  <cp:lastModifiedBy>Administrator</cp:lastModifiedBy>
  <dcterms:modified xsi:type="dcterms:W3CDTF">2016-01-09T01:29:55Z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