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机电工程施工总承包资质标准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2015-12-30</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机电工程施工总承包资质分为一级、二级、三级。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亿元以上。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）机电工程、建筑工程专业一级注册建造师合计不少于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人，其中机电工程专业一级注册建造师不少于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9</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年以上从事工程施工技术管理工作经历，且具有机电工程相关专业高级职称；机电工程相关专业中级以上职称人员不少于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60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万元以上的机电工程施工总承包工程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）机电工程、建筑工程专业注册建造师合计不少于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12</w:t>
      </w:r>
      <w:r>
        <w:rPr>
          <w:rFonts w:hint="eastAsia" w:asciiTheme="minorEastAsia" w:hAnsiTheme="minorEastAsia" w:eastAsiaTheme="minorEastAsia" w:cstheme="minorEastAsia"/>
          <w:b w:val="0"/>
          <w:i w:val="0"/>
          <w:caps w:val="0"/>
          <w:color w:val="3E3E3E"/>
          <w:spacing w:val="0"/>
          <w:sz w:val="24"/>
          <w:szCs w:val="24"/>
          <w:bdr w:val="none" w:color="auto" w:sz="0" w:space="0"/>
        </w:rPr>
        <w:t>人，其中机电工程专业一级注册建造师不少于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年以上从事工程施工技术管理工作经历，且具有机电工程相关专业高级职称或机电工程专业一级注册建造师执业资格；机电工程相关专业中级以上职称人员不少于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75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万元以上的机电工程施工总承包工程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12.3三级资质标准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）机电工程、建筑工程专业注册建造师合计不少于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年以上从事工程施工技术管理工作经历，且具有机电工程相关专业中级以上职称或机电工程专业注册建造师执业资格；机电工程相关专业中级以上职称人员不少于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人，且施工员、质量员、安全员、机械员、材料员、资料员等人员齐全。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12.4承包工程范围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可承担各类机电工程的施工。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万元以下的机电工程的施</w:t>
      </w:r>
      <w:r>
        <w:rPr>
          <w:rFonts w:hint="eastAsia" w:asciiTheme="minorEastAsia" w:hAnsiTheme="minorEastAsia" w:eastAsiaTheme="minorEastAsia" w:cstheme="minorEastAsia"/>
          <w:b w:val="0"/>
          <w:i w:val="0"/>
          <w:caps w:val="0"/>
          <w:color w:val="3E3E3E"/>
          <w:spacing w:val="0"/>
          <w:sz w:val="24"/>
          <w:szCs w:val="24"/>
          <w:bdr w:val="none" w:color="auto" w:sz="0" w:space="0"/>
        </w:rPr>
        <w:t>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12.4.3三级资质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万元以下的机电工程的施工。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1.机电工程是指未列入港口与航道、水利水电、电力、矿山、冶金、石油化工、通信工程的机械、电子、轻工、纺织、航天航空、船舶、兵器等其他工业工程的机电安装工程。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bookmarkStart w:id="0" w:name="_GoBack"/>
      <w:bookmarkEnd w:id="0"/>
      <w:r>
        <w:rPr>
          <w:rFonts w:hint="eastAsia" w:asciiTheme="minorEastAsia" w:hAnsiTheme="minorEastAsia" w:eastAsiaTheme="minorEastAsia" w:cstheme="minorEastAsia"/>
          <w:b w:val="0"/>
          <w:i w:val="0"/>
          <w:caps w:val="0"/>
          <w:color w:val="3E3E3E"/>
          <w:spacing w:val="0"/>
          <w:sz w:val="24"/>
          <w:szCs w:val="24"/>
          <w:bdr w:val="none" w:color="auto" w:sz="0" w:space="0"/>
        </w:rPr>
        <w:t>2.机电工程相关专业职称包括暖通、给排水、电气、机械设备、焊接、自动化控制等专业职称。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C061A0"/>
    <w:rsid w:val="23C061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2016-01-08T08:08:00Z</dcterms:created>
  <dc:creator>Administrator</dc:creator>
  <cp:lastModifiedBy>Administrator</cp:lastModifiedBy>
  <dcterms:modified xsi:type="dcterms:W3CDTF">2016-01-08T08:12:01Z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