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E7EB" w:sz="6" w:space="7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桥梁工程专业承包资质标准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0"/>
          <w:szCs w:val="0"/>
        </w:rPr>
      </w:pPr>
      <w:r>
        <w:rPr>
          <w:rStyle w:val="5"/>
          <w:rFonts w:hint="default" w:ascii="Helvetica Neue" w:hAnsi="Helvetica Neue" w:eastAsia="Helvetica Neue" w:cs="Helvetica Neue"/>
          <w:b w:val="0"/>
          <w:i w:val="0"/>
          <w:caps w:val="0"/>
          <w:color w:val="8C8C8C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2015-12-25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kern w:val="0"/>
          <w:sz w:val="0"/>
          <w:szCs w:val="0"/>
          <w:bdr w:val="none" w:color="auto" w:sz="0" w:space="0"/>
          <w:lang w:val="en-US" w:eastAsia="zh-CN" w:bidi="ar"/>
        </w:rPr>
        <w:t> 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instrText xml:space="preserve"> HYPERLINK "http://mp.weixin.qq.com/javascript:void(0);"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6"/>
          <w:rFonts w:hint="default" w:ascii="Helvetica Neue" w:hAnsi="Helvetica Neue" w:eastAsia="Helvetica Neue" w:cs="Helvetica Neue"/>
          <w:b w:val="0"/>
          <w:i w:val="0"/>
          <w:caps w:val="0"/>
          <w:vanish/>
          <w:color w:val="607FA6"/>
          <w:spacing w:val="0"/>
          <w:sz w:val="24"/>
          <w:szCs w:val="24"/>
          <w:u w:val="none"/>
          <w:bdr w:val="none" w:color="auto" w:sz="0" w:space="0"/>
        </w:rPr>
        <w:t>名企人才网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桥梁工程专业承包资质分为一级、二级、三级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19.1一级资质标准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19.1.1企业资产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净资产6000万元以上。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19.1.2企业主要人员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（1）市政公用工程、公路工程、铁路工程专业一级注册建造师合计不少于10人。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（2）技术负责人具有10年以上从事工程施工技术管理工作经历，且具有桥梁工程或结构专业高级职称；桥梁工程、结构等专业中级以上职称人员不少于20人，且专业齐全。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（3）持有岗位证书的施工现场管理人员不少于30人，且施工员、质量员、安全员等人员齐全。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（4）经考核或培训合格的钢筋工、测量工、混凝土工、模板工等中级工以上技术工人不少于50人。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19.1.3企业工程业绩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近5年承担过下列2类工程的施工，工程质量合格。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（1）累计修建单座桥长≥500米或单跨≥100米或桥墩高≥60米的桥梁4座；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 xml:space="preserve">（2）累计完成桥梁工程合同额3亿元以上。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19.1.4技术装备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具有下列机械设备：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（1）120立方米/小时以上水泥混凝土拌和设备1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（2）200吨以上架桥机1台。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19.2二级资质标准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19.2.1企业资产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净资产3000万元以上。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19.2.2企业主要人员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（1）市政公用工程、公路工程、铁路工程专业注册建造师合计不少于8人。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2）技术负责人具有8年以上从事工程施工技术管理工作经历，且具有桥梁工程或结构专业高级职称或市政公用工程（或公路工程或铁路工程）专业一级注册建造师执业资格；桥梁工程、结构等专业中级以上职称人员不少于15人，且专业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（3）持有岗位证书的施工现场管理人员不少于20人，且施工员、质量员、安全员等人员齐全。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（4）经考核或培训合格的钢筋工、测量工、混凝土工、模板工等中级工以上技术工人不少于30人。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19.2.3企业工程业绩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近5年承担过下列2类工程的施工，工程质量合格。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（1）累计修建单座桥长≥100米或单跨≥40米的桥梁3座；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（2）累计完成桥梁工程合同额1.5亿元以上。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19.2.4技术装备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具有下列机械设备：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（1）60立方米/小时以上水泥混凝土拌和设备1台；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（2）100吨以上架桥机1台。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19.3三级资质标准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19.3.1企业资产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净资产800万元以上。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19.3.2企业主要人员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（1）市政公用工程、公路工程、铁路工程专业注册建造师合计不少于3人。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2）技术负责人具有5年以上从事工程施工技术管理工作经历，且具有桥梁工程或结构专业中级以上职称或市政公用工程（或公路工程或铁路工程）专业注册建造师执业资格；桥梁工程、结构等专业中级以上职称人员不少于8人，且专业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 xml:space="preserve">（3）持有岗位证书的施工现场管理人员不少于10人，且施工员、质量员、安全员等人员齐全。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（4）经考核或培训合格的钢筋工、测量工、混凝土工、模板工等中级工以上技术工人不少于20人。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（5）技术负责人(或注册建造师）主持完成过本类别资质二级以上标准要求的工程业绩不少于2项。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19.3.3技术装备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具有下列机械设备：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（1）40立方米/小时以上水泥混凝土拌和设备1台；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（2）50吨以上架桥机1台。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19.4承包工程范围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19.4.1一级资质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可承担各类桥梁工程的施工。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19.4.2二级资质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可承担单跨150米以下、单座桥梁总长1000米以下桥梁工程的施工。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19.4.3三级资质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可承担单跨50米以下、单座桥梁总长120米以下桥梁工程的施工。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F7D3B"/>
    <w:rsid w:val="0D5F7D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2016-01-08T08:45:00Z</dcterms:created>
  <dc:creator>Administrator</dc:creator>
  <cp:lastModifiedBy>Administrator</cp:lastModifiedBy>
  <dcterms:modified xsi:type="dcterms:W3CDTF">2016-01-08T08:47:22Z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